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90E" w:rsidRDefault="00E26233">
      <w:pPr>
        <w:pStyle w:val="24"/>
        <w:jc w:val="center"/>
      </w:pPr>
      <w:r>
        <w:rPr>
          <w:noProof/>
        </w:rPr>
        <mc:AlternateContent>
          <mc:Choice Requires="wpg">
            <w:drawing>
              <wp:inline distT="0" distB="0" distL="0" distR="0">
                <wp:extent cx="548640" cy="643890"/>
                <wp:effectExtent l="0" t="0" r="3810" b="3810"/>
                <wp:docPr id="1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/>
                        <pic:cNvPicPr>
                          <a:picLocks noChangeAspect="1"/>
                        </pic:cNvPicPr>
                      </pic:nvPicPr>
                      <pic:blipFill>
                        <a:blip r:embed="rId9">
                          <a:lum bright="-60000" contrast="80000"/>
                        </a:blip>
                        <a:stretch/>
                      </pic:blipFill>
                      <pic:spPr bwMode="auto">
                        <a:xfrm>
                          <a:off x="0" y="0"/>
                          <a:ext cx="548640" cy="643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 xmlns:w15="http://schemas.microsoft.com/office/word/2012/wordml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43.20pt;height:50.70pt;mso-wrap-distance-left:0.00pt;mso-wrap-distance-top:0.00pt;mso-wrap-distance-right:0.00pt;mso-wrap-distance-bottom:0.00pt;" stroked="f">
                <v:path textboxrect="0,0,0,0"/>
                <v:imagedata r:id="rId11" o:title=""/>
              </v:shape>
            </w:pict>
          </mc:Fallback>
        </mc:AlternateContent>
      </w:r>
    </w:p>
    <w:p w:rsidR="009D590E" w:rsidRDefault="009D590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9D590E" w:rsidRDefault="00E2623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МИНИСТЕРСТВО ЭКОНОМИЧЕСКОГО РАЗВИТИЯ НОВОСИБИРСКОЙ ОБЛАСТИ</w:t>
      </w:r>
    </w:p>
    <w:p w:rsidR="009D590E" w:rsidRDefault="009D590E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D590E" w:rsidRDefault="00E26233">
      <w:pPr>
        <w:widowControl w:val="0"/>
        <w:spacing w:after="0" w:line="240" w:lineRule="auto"/>
        <w:ind w:right="5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  <w:r w:rsidR="009C6EDB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</w:p>
    <w:p w:rsidR="009D590E" w:rsidRDefault="00E26233">
      <w:pPr>
        <w:widowControl w:val="0"/>
        <w:spacing w:after="0" w:line="240" w:lineRule="auto"/>
        <w:ind w:right="57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проекту закона Новосибирской области </w:t>
      </w: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О внесении изменений в главу 6 Закона Новосибирской области «О налогах и</w:t>
      </w:r>
      <w:r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pacing w:val="-1"/>
          <w:sz w:val="28"/>
          <w:szCs w:val="28"/>
        </w:rPr>
        <w:t>особенностях</w:t>
      </w:r>
      <w:r>
        <w:rPr>
          <w:rFonts w:ascii="Times New Roman" w:hAnsi="Times New Roman" w:cs="Times New Roman"/>
          <w:b/>
          <w:spacing w:val="-15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pacing w:val="-1"/>
          <w:sz w:val="28"/>
          <w:szCs w:val="28"/>
        </w:rPr>
        <w:t>налогообложения</w:t>
      </w:r>
      <w:r>
        <w:rPr>
          <w:rFonts w:ascii="Times New Roman" w:hAnsi="Times New Roman" w:cs="Times New Roman"/>
          <w:b/>
          <w:spacing w:val="-12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pacing w:val="-1"/>
          <w:sz w:val="28"/>
          <w:szCs w:val="28"/>
        </w:rPr>
        <w:t>отдельных</w:t>
      </w:r>
      <w:r>
        <w:rPr>
          <w:rFonts w:ascii="Times New Roman" w:hAnsi="Times New Roman" w:cs="Times New Roman"/>
          <w:b/>
          <w:spacing w:val="-14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категорий</w:t>
      </w:r>
      <w:r>
        <w:rPr>
          <w:rFonts w:ascii="Times New Roman" w:hAnsi="Times New Roman" w:cs="Times New Roman"/>
          <w:b/>
          <w:spacing w:val="-16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налогоплательщиков</w:t>
      </w:r>
      <w:r>
        <w:rPr>
          <w:rFonts w:ascii="Times New Roman" w:hAnsi="Times New Roman" w:cs="Times New Roman"/>
          <w:b/>
          <w:spacing w:val="-15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pacing w:val="-67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Новосибирской</w:t>
      </w:r>
      <w:r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области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9D590E" w:rsidRDefault="009D590E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D590E" w:rsidRDefault="00E26233">
      <w:pPr>
        <w:pStyle w:val="ConsNormal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proofErr w:type="gramStart"/>
      <w:r>
        <w:rPr>
          <w:rFonts w:ascii="Times New Roman" w:eastAsiaTheme="minorHAnsi" w:hAnsi="Times New Roman" w:cs="Times New Roman"/>
          <w:spacing w:val="-2"/>
          <w:sz w:val="28"/>
          <w:szCs w:val="28"/>
          <w:lang w:eastAsia="en-US"/>
        </w:rPr>
        <w:t>Проект закона Новосибирской области «</w:t>
      </w:r>
      <w:r>
        <w:rPr>
          <w:rFonts w:ascii="Times New Roman" w:hAnsi="Times New Roman" w:cs="Times New Roman"/>
          <w:sz w:val="28"/>
          <w:szCs w:val="28"/>
        </w:rPr>
        <w:t>О внесении изменений в главу 6 Закона Новосибирской области «О налогах 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1"/>
          <w:sz w:val="28"/>
          <w:szCs w:val="28"/>
        </w:rPr>
        <w:t>особенностях</w:t>
      </w:r>
      <w:r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1"/>
          <w:sz w:val="28"/>
          <w:szCs w:val="28"/>
        </w:rPr>
        <w:t>налогообложения</w:t>
      </w:r>
      <w:r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1"/>
          <w:sz w:val="28"/>
          <w:szCs w:val="28"/>
        </w:rPr>
        <w:t>отдельных</w:t>
      </w:r>
      <w:r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категорий</w:t>
      </w:r>
      <w:r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налогоплательщиков</w:t>
      </w:r>
      <w:r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Новосибирской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области</w:t>
      </w:r>
      <w:r>
        <w:rPr>
          <w:rFonts w:ascii="Times New Roman" w:eastAsiaTheme="minorHAnsi" w:hAnsi="Times New Roman" w:cs="Times New Roman"/>
          <w:spacing w:val="-2"/>
          <w:sz w:val="28"/>
          <w:szCs w:val="28"/>
          <w:lang w:eastAsia="en-US"/>
        </w:rPr>
        <w:t xml:space="preserve">» (далее – проект закона) разработан на основании Стратегии развития строительной отрасли и жилищно-коммунального хозяйства Российской Федерации на период до 2030 года с прогнозом до 2035 года, утвержденной распоряжением Правительства Российской Федерации </w:t>
      </w:r>
      <w:r>
        <w:rPr>
          <w:rFonts w:ascii="Times New Roman" w:eastAsiaTheme="minorHAnsi" w:hAnsi="Times New Roman" w:cs="Times New Roman"/>
          <w:spacing w:val="-2"/>
          <w:sz w:val="28"/>
          <w:szCs w:val="28"/>
          <w:lang w:eastAsia="en-US"/>
        </w:rPr>
        <w:t>от 31.10.2022 № 3268-р, в целях</w:t>
      </w:r>
      <w:r>
        <w:rPr>
          <w:rFonts w:ascii="Times New Roman" w:hAnsi="Times New Roman" w:cs="Times New Roman"/>
          <w:sz w:val="28"/>
          <w:szCs w:val="28"/>
        </w:rPr>
        <w:t xml:space="preserve"> развития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комплексной жилой застройки, создания комфортной и безопасной среды для жизни</w:t>
      </w:r>
      <w:r>
        <w:rPr>
          <w:rFonts w:ascii="Times New Roman" w:eastAsiaTheme="minorHAnsi" w:hAnsi="Times New Roman" w:cs="Times New Roman"/>
          <w:spacing w:val="-2"/>
          <w:sz w:val="28"/>
          <w:szCs w:val="28"/>
          <w:lang w:eastAsia="en-US"/>
        </w:rPr>
        <w:t>, а также в целях реализации в законодательстве Новосибирской области права налогоплательщиков на применение инвестиционного налогового вы</w:t>
      </w:r>
      <w:r>
        <w:rPr>
          <w:rFonts w:ascii="Times New Roman" w:eastAsiaTheme="minorHAnsi" w:hAnsi="Times New Roman" w:cs="Times New Roman"/>
          <w:spacing w:val="-2"/>
          <w:sz w:val="28"/>
          <w:szCs w:val="28"/>
          <w:lang w:eastAsia="en-US"/>
        </w:rPr>
        <w:t xml:space="preserve">чета. </w:t>
      </w:r>
    </w:p>
    <w:p w:rsidR="009D590E" w:rsidRDefault="00E26233">
      <w:pPr>
        <w:pStyle w:val="ConsNormal"/>
        <w:jc w:val="both"/>
        <w:rPr>
          <w:rFonts w:ascii="Times New Roman" w:eastAsiaTheme="minorHAnsi" w:hAnsi="Times New Roman" w:cs="Times New Roman"/>
          <w:spacing w:val="-2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pacing w:val="-2"/>
          <w:sz w:val="28"/>
          <w:szCs w:val="28"/>
          <w:lang w:eastAsia="en-US"/>
        </w:rPr>
        <w:t xml:space="preserve">Для инвестора, являющегося стороной специального инвестиционного контракта, проектом закона предусматривается освобождение от уплаты налога на прибыль организаций в части, подлежащей уплате в областной бюджет Новосибирской области. Данные изменения </w:t>
      </w:r>
      <w:r>
        <w:rPr>
          <w:rFonts w:ascii="Times New Roman" w:eastAsiaTheme="minorHAnsi" w:hAnsi="Times New Roman" w:cs="Times New Roman"/>
          <w:spacing w:val="-2"/>
          <w:sz w:val="28"/>
          <w:szCs w:val="28"/>
          <w:lang w:eastAsia="en-US"/>
        </w:rPr>
        <w:t xml:space="preserve">повысят привлекательность региона для инвесторов. Особенности применения налоговых ставок предусмотрены пунктом 3 статьи 284.9 Налогового кодекса Российской Федерации. </w:t>
      </w:r>
    </w:p>
    <w:p w:rsidR="009D590E" w:rsidRDefault="00E26233">
      <w:pPr>
        <w:pStyle w:val="ConsNormal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proofErr w:type="gramStart"/>
      <w:r>
        <w:rPr>
          <w:rFonts w:ascii="Times New Roman" w:hAnsi="Times New Roman" w:cs="Times New Roman"/>
          <w:spacing w:val="-2"/>
          <w:sz w:val="28"/>
          <w:szCs w:val="28"/>
        </w:rPr>
        <w:t xml:space="preserve">Необходимость установления </w:t>
      </w:r>
      <w:r>
        <w:rPr>
          <w:rFonts w:ascii="Times New Roman" w:eastAsiaTheme="minorHAnsi" w:hAnsi="Times New Roman" w:cs="Times New Roman"/>
          <w:color w:val="000000" w:themeColor="text1"/>
          <w:spacing w:val="-2"/>
          <w:sz w:val="28"/>
          <w:szCs w:val="28"/>
          <w:lang w:eastAsia="en-US"/>
        </w:rPr>
        <w:t>налоговых льгот</w:t>
      </w:r>
      <w:r>
        <w:rPr>
          <w:rFonts w:ascii="Times New Roman" w:eastAsiaTheme="minorHAnsi" w:hAnsi="Times New Roman" w:cs="Times New Roman"/>
          <w:color w:val="FF0000"/>
          <w:spacing w:val="-2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28"/>
        </w:rPr>
        <w:t>на территории Новосибирской области обусловл</w:t>
      </w:r>
      <w:r>
        <w:rPr>
          <w:rFonts w:ascii="Times New Roman" w:hAnsi="Times New Roman" w:cs="Times New Roman"/>
          <w:spacing w:val="-2"/>
          <w:sz w:val="28"/>
          <w:szCs w:val="28"/>
        </w:rPr>
        <w:t>ена положениями пункта 1 статьи 284 Налогового кодекса Российской Федерации в связи с истечением срока (до 01.01.2025), в течение которого подлежали применению пониженные налоговые ставки по налогу на прибыль организаций, подлежащему зачислению в бюджеты с</w:t>
      </w:r>
      <w:r>
        <w:rPr>
          <w:rFonts w:ascii="Times New Roman" w:hAnsi="Times New Roman" w:cs="Times New Roman"/>
          <w:spacing w:val="-2"/>
          <w:sz w:val="28"/>
          <w:szCs w:val="28"/>
        </w:rPr>
        <w:t>убъектов Российской Федерации, и пунктом 2 статьи 6.2 Закона Новосибирской области от 16.10.2003 № 142-ОЗ «О налогах и особенностях</w:t>
      </w:r>
      <w:proofErr w:type="gramEnd"/>
      <w:r>
        <w:rPr>
          <w:rFonts w:ascii="Times New Roman" w:hAnsi="Times New Roman" w:cs="Times New Roman"/>
          <w:spacing w:val="-2"/>
          <w:sz w:val="28"/>
          <w:szCs w:val="28"/>
        </w:rPr>
        <w:t xml:space="preserve"> налогообложения отдельных категорий налогоплательщиков в Новосибирской области». </w:t>
      </w:r>
    </w:p>
    <w:p w:rsidR="009D590E" w:rsidRDefault="00E26233">
      <w:pPr>
        <w:pStyle w:val="ConsNormal"/>
        <w:jc w:val="both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pacing w:val="-2"/>
          <w:sz w:val="28"/>
          <w:szCs w:val="28"/>
          <w:lang w:eastAsia="en-US"/>
        </w:rPr>
        <w:t>Проектом закона в соответствии с подпункта</w:t>
      </w:r>
      <w:r>
        <w:rPr>
          <w:rFonts w:ascii="Times New Roman" w:eastAsiaTheme="minorHAnsi" w:hAnsi="Times New Roman" w:cs="Times New Roman"/>
          <w:spacing w:val="-2"/>
          <w:sz w:val="28"/>
          <w:szCs w:val="28"/>
          <w:lang w:eastAsia="en-US"/>
        </w:rPr>
        <w:t>ми 5 и 10 пункта 2 статьи 286.1 Налогового кодекса Российской Федерации также предлагается установить</w:t>
      </w:r>
      <w:r>
        <w:rPr>
          <w:rFonts w:ascii="Times New Roman" w:hAnsi="Times New Roman" w:cs="Times New Roman"/>
          <w:bCs/>
          <w:sz w:val="28"/>
          <w:szCs w:val="28"/>
        </w:rPr>
        <w:t xml:space="preserve"> инвестиционный налоговый вычет по налогу на прибыль организаций:</w:t>
      </w:r>
    </w:p>
    <w:p w:rsidR="009D590E" w:rsidRDefault="00E26233">
      <w:pPr>
        <w:pStyle w:val="ConsNorma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1) в размере 80% – для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налогоплательщиков, осуществивших расходы на создание объектов тра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нспортной, коммунальной и социальной инфраструктур, в том числе расходы на их приобретение, сооружение, доведение до состояния, в котором они пригодны для использования, создание которых является обязательством, предусмотренным условиями договора о комплек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сном развитии территории, предусматривающего строительство многоквартирного дома (домов) или дома (домов) блокированной застройки, либо договора о комплексном освоении территории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целях строительства стандартного жилья, заключенного с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налогоплательщиком д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 дня вступления в силу Федерального закона от 30.12.2020 № 494-ФЗ «О внесении изменений в Градостроительный кодекс Российской Федерации и отдельные законодательные акты Российской Федерации в целях обеспечения комплексного развития территорий» в соответст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вии с положениями Градостроительного кодекса Российской Федераци</w:t>
      </w:r>
      <w:r>
        <w:rPr>
          <w:rFonts w:ascii="Times New Roman" w:hAnsi="Times New Roman" w:cs="Times New Roman"/>
          <w:bCs/>
          <w:sz w:val="28"/>
          <w:szCs w:val="28"/>
        </w:rPr>
        <w:t>и;</w:t>
      </w:r>
    </w:p>
    <w:p w:rsidR="009D590E" w:rsidRDefault="00E26233">
      <w:pPr>
        <w:pStyle w:val="ConsNormal"/>
        <w:jc w:val="both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2) в размере 100% – в отношении расходов в виде денежных средств, внесенных в качестве вклада в инвестиционное товарищество, деятельность в рамках которого направлена на осуществление венчу</w:t>
      </w:r>
      <w:r>
        <w:rPr>
          <w:rFonts w:ascii="Times New Roman" w:hAnsi="Times New Roman" w:cs="Times New Roman"/>
          <w:bCs/>
          <w:sz w:val="28"/>
          <w:szCs w:val="28"/>
        </w:rPr>
        <w:t>рных и (или) прямых инвестиций в организации, имеющие статус малой технологической компании</w:t>
      </w:r>
      <w:r>
        <w:rPr>
          <w:rFonts w:ascii="Times New Roman" w:eastAsiaTheme="minorHAnsi" w:hAnsi="Times New Roman" w:cs="Times New Roman"/>
          <w:spacing w:val="-2"/>
          <w:sz w:val="28"/>
          <w:szCs w:val="28"/>
          <w:lang w:eastAsia="en-US"/>
        </w:rPr>
        <w:t>.</w:t>
      </w:r>
    </w:p>
    <w:p w:rsidR="009D590E" w:rsidRDefault="00E26233">
      <w:pPr>
        <w:pStyle w:val="Con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spacing w:val="-2"/>
          <w:sz w:val="28"/>
          <w:szCs w:val="28"/>
        </w:rPr>
        <w:t xml:space="preserve">В соответствии с требованиями подпункта 10 пункта 2 статьи 286.1 Налогового кодекса Российской Федерации об установлении нормативным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правовым актом субъекта Российской Федерации порядка </w:t>
      </w:r>
      <w:r>
        <w:rPr>
          <w:rFonts w:ascii="Times New Roman" w:hAnsi="Times New Roman" w:cs="Times New Roman"/>
          <w:sz w:val="28"/>
          <w:szCs w:val="28"/>
        </w:rPr>
        <w:t>формирования и ведения регионального реестра инвестиционных товариществ для осуществления венчурных и (или) прямых инвестиций в инновационные проекты и (или) инновационную деятельность, разработан проект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постановления Правительства Новосибирской области 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«О порядке формирования реестра инвестиционных товариществ для осуществления венчурных 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(или) прямых инвестиций в инновационные проекты и (или) инновационную деятельность Новосибирской области»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D590E" w:rsidRDefault="00E26233">
      <w:pPr>
        <w:pStyle w:val="ConsNormal"/>
        <w:jc w:val="both"/>
        <w:rPr>
          <w:rFonts w:ascii="Times New Roman" w:eastAsiaTheme="minorHAnsi" w:hAnsi="Times New Roman" w:cs="Times New Roman"/>
          <w:spacing w:val="-2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pacing w:val="-2"/>
          <w:sz w:val="28"/>
          <w:szCs w:val="28"/>
          <w:lang w:eastAsia="en-US"/>
        </w:rPr>
        <w:t>Проект за</w:t>
      </w:r>
      <w:r>
        <w:rPr>
          <w:rFonts w:ascii="Times New Roman" w:eastAsiaTheme="minorHAnsi" w:hAnsi="Times New Roman" w:cs="Times New Roman"/>
          <w:spacing w:val="-2"/>
          <w:sz w:val="28"/>
          <w:szCs w:val="28"/>
          <w:lang w:eastAsia="en-US"/>
        </w:rPr>
        <w:t xml:space="preserve">кона состоит из двух статей. Статьей 1 вносятся соответствующие изменения, статьей 2 определяется порядок вступления закона в силу. </w:t>
      </w:r>
    </w:p>
    <w:p w:rsidR="009D590E" w:rsidRDefault="00E26233">
      <w:pPr>
        <w:pStyle w:val="ConsNormal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Проект закона в соответствии с пунктом 1 части 3 статьи 7.1 Закона Новосибирской области от 25.12.2006 № 80-ОЗ «О нормативн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ых правовых актах Новосибирской области» не подлежит оценке регулирующего воздействия, поскольку проектом закона устанавливаются налоговые льготы, основания и порядок их применения.</w:t>
      </w:r>
    </w:p>
    <w:p w:rsidR="009D590E" w:rsidRDefault="009D590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D590E" w:rsidRDefault="009D590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D590E" w:rsidRDefault="009D590E">
      <w:pPr>
        <w:pStyle w:val="ConsNormal"/>
        <w:ind w:firstLine="0"/>
        <w:jc w:val="both"/>
        <w:rPr>
          <w:rFonts w:ascii="Times New Roman" w:eastAsiaTheme="minorHAnsi" w:hAnsi="Times New Roman" w:cs="Times New Roman"/>
          <w:sz w:val="28"/>
          <w:szCs w:val="28"/>
        </w:rPr>
      </w:pPr>
    </w:p>
    <w:p w:rsidR="009D590E" w:rsidRDefault="00E26233">
      <w:pPr>
        <w:pStyle w:val="Con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Л.Н. Решетников</w:t>
      </w:r>
    </w:p>
    <w:p w:rsidR="009D590E" w:rsidRDefault="009D590E">
      <w:pPr>
        <w:pStyle w:val="ConsNormal"/>
        <w:ind w:firstLine="0"/>
        <w:rPr>
          <w:rFonts w:ascii="Times New Roman" w:hAnsi="Times New Roman" w:cs="Times New Roman"/>
          <w:sz w:val="28"/>
          <w:szCs w:val="28"/>
        </w:rPr>
      </w:pPr>
    </w:p>
    <w:sectPr w:rsidR="009D590E">
      <w:headerReference w:type="default" r:id="rId12"/>
      <w:pgSz w:w="11906" w:h="16838"/>
      <w:pgMar w:top="567" w:right="567" w:bottom="110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6233" w:rsidRDefault="00E26233">
      <w:pPr>
        <w:spacing w:after="0" w:line="240" w:lineRule="auto"/>
      </w:pPr>
      <w:r>
        <w:separator/>
      </w:r>
    </w:p>
  </w:endnote>
  <w:endnote w:type="continuationSeparator" w:id="0">
    <w:p w:rsidR="00E26233" w:rsidRDefault="00E262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6233" w:rsidRDefault="00E26233">
      <w:pPr>
        <w:spacing w:after="0" w:line="240" w:lineRule="auto"/>
      </w:pPr>
      <w:r>
        <w:separator/>
      </w:r>
    </w:p>
  </w:footnote>
  <w:footnote w:type="continuationSeparator" w:id="0">
    <w:p w:rsidR="00E26233" w:rsidRDefault="00E262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13294274"/>
      <w:docPartObj>
        <w:docPartGallery w:val="Page Numbers (Top of Page)"/>
        <w:docPartUnique/>
      </w:docPartObj>
    </w:sdtPr>
    <w:sdtEndPr/>
    <w:sdtContent>
      <w:p w:rsidR="009D590E" w:rsidRDefault="00E26233">
        <w:pPr>
          <w:pStyle w:val="af8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rFonts w:ascii="Times New Roman" w:hAnsi="Times New Roman" w:cs="Times New Roman"/>
            <w:sz w:val="20"/>
            <w:szCs w:val="20"/>
          </w:rPr>
          <w:fldChar w:fldCharType="begin"/>
        </w:r>
        <w:r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9C6EDB">
          <w:rPr>
            <w:rFonts w:ascii="Times New Roman" w:hAnsi="Times New Roman" w:cs="Times New Roman"/>
            <w:noProof/>
            <w:sz w:val="20"/>
            <w:szCs w:val="20"/>
          </w:rPr>
          <w:t>2</w:t>
        </w:r>
        <w:r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2F1818"/>
    <w:multiLevelType w:val="hybridMultilevel"/>
    <w:tmpl w:val="02224882"/>
    <w:lvl w:ilvl="0" w:tplc="0CC2DFAA">
      <w:start w:val="1"/>
      <w:numFmt w:val="decimal"/>
      <w:suff w:val="space"/>
      <w:lvlText w:val="%1."/>
      <w:lvlJc w:val="left"/>
      <w:rPr>
        <w:rFonts w:cs="Times New Roman" w:hint="default"/>
      </w:rPr>
    </w:lvl>
    <w:lvl w:ilvl="1" w:tplc="24202322">
      <w:start w:val="1"/>
      <w:numFmt w:val="lowerLetter"/>
      <w:lvlText w:val="%2."/>
      <w:lvlJc w:val="left"/>
      <w:pPr>
        <w:ind w:left="9875" w:hanging="360"/>
      </w:pPr>
      <w:rPr>
        <w:rFonts w:cs="Times New Roman"/>
      </w:rPr>
    </w:lvl>
    <w:lvl w:ilvl="2" w:tplc="539CE7B6">
      <w:start w:val="1"/>
      <w:numFmt w:val="lowerRoman"/>
      <w:lvlText w:val="%3."/>
      <w:lvlJc w:val="right"/>
      <w:pPr>
        <w:ind w:left="10595" w:hanging="180"/>
      </w:pPr>
      <w:rPr>
        <w:rFonts w:cs="Times New Roman"/>
      </w:rPr>
    </w:lvl>
    <w:lvl w:ilvl="3" w:tplc="AF1E9C94">
      <w:start w:val="1"/>
      <w:numFmt w:val="decimal"/>
      <w:lvlText w:val="%4."/>
      <w:lvlJc w:val="left"/>
      <w:pPr>
        <w:ind w:left="11315" w:hanging="360"/>
      </w:pPr>
      <w:rPr>
        <w:rFonts w:cs="Times New Roman"/>
      </w:rPr>
    </w:lvl>
    <w:lvl w:ilvl="4" w:tplc="6FC8C16C">
      <w:start w:val="1"/>
      <w:numFmt w:val="lowerLetter"/>
      <w:lvlText w:val="%5."/>
      <w:lvlJc w:val="left"/>
      <w:pPr>
        <w:ind w:left="12035" w:hanging="360"/>
      </w:pPr>
      <w:rPr>
        <w:rFonts w:cs="Times New Roman"/>
      </w:rPr>
    </w:lvl>
    <w:lvl w:ilvl="5" w:tplc="BCBAA7BE">
      <w:start w:val="1"/>
      <w:numFmt w:val="lowerRoman"/>
      <w:lvlText w:val="%6."/>
      <w:lvlJc w:val="right"/>
      <w:pPr>
        <w:ind w:left="12755" w:hanging="180"/>
      </w:pPr>
      <w:rPr>
        <w:rFonts w:cs="Times New Roman"/>
      </w:rPr>
    </w:lvl>
    <w:lvl w:ilvl="6" w:tplc="BF9430A0">
      <w:start w:val="1"/>
      <w:numFmt w:val="decimal"/>
      <w:lvlText w:val="%7."/>
      <w:lvlJc w:val="left"/>
      <w:pPr>
        <w:ind w:left="13475" w:hanging="360"/>
      </w:pPr>
      <w:rPr>
        <w:rFonts w:cs="Times New Roman"/>
      </w:rPr>
    </w:lvl>
    <w:lvl w:ilvl="7" w:tplc="CCFEB37A">
      <w:start w:val="1"/>
      <w:numFmt w:val="lowerLetter"/>
      <w:lvlText w:val="%8."/>
      <w:lvlJc w:val="left"/>
      <w:pPr>
        <w:ind w:left="14195" w:hanging="360"/>
      </w:pPr>
      <w:rPr>
        <w:rFonts w:cs="Times New Roman"/>
      </w:rPr>
    </w:lvl>
    <w:lvl w:ilvl="8" w:tplc="BBE8290A">
      <w:start w:val="1"/>
      <w:numFmt w:val="lowerRoman"/>
      <w:lvlText w:val="%9."/>
      <w:lvlJc w:val="right"/>
      <w:pPr>
        <w:ind w:left="14915" w:hanging="180"/>
      </w:pPr>
      <w:rPr>
        <w:rFonts w:cs="Times New Roman"/>
      </w:rPr>
    </w:lvl>
  </w:abstractNum>
  <w:abstractNum w:abstractNumId="1">
    <w:nsid w:val="68C52A98"/>
    <w:multiLevelType w:val="hybridMultilevel"/>
    <w:tmpl w:val="A1B4FCBE"/>
    <w:lvl w:ilvl="0" w:tplc="93303E62">
      <w:start w:val="1"/>
      <w:numFmt w:val="decimal"/>
      <w:lvlText w:val="%1)"/>
      <w:lvlJc w:val="left"/>
      <w:pPr>
        <w:ind w:left="720" w:hanging="360"/>
      </w:pPr>
    </w:lvl>
    <w:lvl w:ilvl="1" w:tplc="9618B156">
      <w:start w:val="1"/>
      <w:numFmt w:val="lowerLetter"/>
      <w:lvlText w:val="%2."/>
      <w:lvlJc w:val="left"/>
      <w:pPr>
        <w:ind w:left="1440" w:hanging="360"/>
      </w:pPr>
    </w:lvl>
    <w:lvl w:ilvl="2" w:tplc="9E0A8B4A">
      <w:start w:val="1"/>
      <w:numFmt w:val="lowerRoman"/>
      <w:lvlText w:val="%3."/>
      <w:lvlJc w:val="right"/>
      <w:pPr>
        <w:ind w:left="2160" w:hanging="180"/>
      </w:pPr>
    </w:lvl>
    <w:lvl w:ilvl="3" w:tplc="0DCA3FA4">
      <w:start w:val="1"/>
      <w:numFmt w:val="decimal"/>
      <w:lvlText w:val="%4."/>
      <w:lvlJc w:val="left"/>
      <w:pPr>
        <w:ind w:left="2880" w:hanging="360"/>
      </w:pPr>
    </w:lvl>
    <w:lvl w:ilvl="4" w:tplc="CD887C18">
      <w:start w:val="1"/>
      <w:numFmt w:val="lowerLetter"/>
      <w:lvlText w:val="%5."/>
      <w:lvlJc w:val="left"/>
      <w:pPr>
        <w:ind w:left="3600" w:hanging="360"/>
      </w:pPr>
    </w:lvl>
    <w:lvl w:ilvl="5" w:tplc="3B465CF4">
      <w:start w:val="1"/>
      <w:numFmt w:val="lowerRoman"/>
      <w:lvlText w:val="%6."/>
      <w:lvlJc w:val="right"/>
      <w:pPr>
        <w:ind w:left="4320" w:hanging="180"/>
      </w:pPr>
    </w:lvl>
    <w:lvl w:ilvl="6" w:tplc="6EFE8A32">
      <w:start w:val="1"/>
      <w:numFmt w:val="decimal"/>
      <w:lvlText w:val="%7."/>
      <w:lvlJc w:val="left"/>
      <w:pPr>
        <w:ind w:left="5040" w:hanging="360"/>
      </w:pPr>
    </w:lvl>
    <w:lvl w:ilvl="7" w:tplc="3EB2BF02">
      <w:start w:val="1"/>
      <w:numFmt w:val="lowerLetter"/>
      <w:lvlText w:val="%8."/>
      <w:lvlJc w:val="left"/>
      <w:pPr>
        <w:ind w:left="5760" w:hanging="360"/>
      </w:pPr>
    </w:lvl>
    <w:lvl w:ilvl="8" w:tplc="52A29F64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D2676E"/>
    <w:multiLevelType w:val="hybridMultilevel"/>
    <w:tmpl w:val="7FFAFDAA"/>
    <w:lvl w:ilvl="0" w:tplc="2DDA4862">
      <w:start w:val="1"/>
      <w:numFmt w:val="decimal"/>
      <w:suff w:val="space"/>
      <w:lvlText w:val="%1."/>
      <w:lvlJc w:val="left"/>
      <w:rPr>
        <w:rFonts w:cs="Times New Roman" w:hint="default"/>
        <w:b w:val="0"/>
      </w:rPr>
    </w:lvl>
    <w:lvl w:ilvl="1" w:tplc="3AEE35C0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981AA04A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B0F66D76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B510C042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163A1EF6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32FEC72C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550E8CB0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CB8EA18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90E"/>
    <w:rsid w:val="009C6EDB"/>
    <w:rsid w:val="009D590E"/>
    <w:rsid w:val="00E26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  <w:pPr>
      <w:spacing w:after="0"/>
    </w:pPr>
  </w:style>
  <w:style w:type="paragraph" w:customStyle="1" w:styleId="24">
    <w:name w:val="заголовок 2"/>
    <w:basedOn w:val="a"/>
    <w:next w:val="a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rmal">
    <w:name w:val="ConsNormal"/>
    <w:uiPriority w:val="99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3">
    <w:name w:val="annotation text"/>
    <w:basedOn w:val="a"/>
    <w:link w:val="af4"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0"/>
    <w:link w:val="af3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annotation reference"/>
    <w:basedOn w:val="a0"/>
    <w:uiPriority w:val="99"/>
    <w:semiHidden/>
    <w:unhideWhenUsed/>
    <w:rPr>
      <w:rFonts w:cs="Times New Roman"/>
      <w:sz w:val="16"/>
      <w:szCs w:val="16"/>
    </w:rPr>
  </w:style>
  <w:style w:type="paragraph" w:styleId="af6">
    <w:name w:val="Balloon Text"/>
    <w:basedOn w:val="a"/>
    <w:link w:val="af7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Pr>
      <w:rFonts w:ascii="Tahoma" w:hAnsi="Tahoma" w:cs="Tahoma"/>
      <w:sz w:val="16"/>
      <w:szCs w:val="16"/>
    </w:rPr>
  </w:style>
  <w:style w:type="paragraph" w:customStyle="1" w:styleId="ConsPlusNormal">
    <w:name w:val="ConsPlusNormal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</w:style>
  <w:style w:type="paragraph" w:styleId="afc">
    <w:name w:val="List Paragraph"/>
    <w:basedOn w:val="a"/>
    <w:uiPriority w:val="34"/>
    <w:qFormat/>
    <w:pPr>
      <w:ind w:left="720"/>
      <w:contextualSpacing/>
    </w:pPr>
  </w:style>
  <w:style w:type="table" w:styleId="afd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e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ff">
    <w:name w:val="FollowedHyperlink"/>
    <w:basedOn w:val="a0"/>
    <w:uiPriority w:val="99"/>
    <w:semiHidden/>
    <w:unhideWhenUsed/>
    <w:rPr>
      <w:color w:val="800080" w:themeColor="followedHyperlink"/>
      <w:u w:val="single"/>
    </w:rPr>
  </w:style>
  <w:style w:type="paragraph" w:styleId="aff0">
    <w:name w:val="Body Text"/>
    <w:basedOn w:val="a"/>
    <w:link w:val="aff1"/>
    <w:uiPriority w:val="9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1">
    <w:name w:val="Основной текст Знак"/>
    <w:basedOn w:val="a0"/>
    <w:link w:val="aff0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  <w:pPr>
      <w:spacing w:after="0"/>
    </w:pPr>
  </w:style>
  <w:style w:type="paragraph" w:customStyle="1" w:styleId="24">
    <w:name w:val="заголовок 2"/>
    <w:basedOn w:val="a"/>
    <w:next w:val="a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rmal">
    <w:name w:val="ConsNormal"/>
    <w:uiPriority w:val="99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3">
    <w:name w:val="annotation text"/>
    <w:basedOn w:val="a"/>
    <w:link w:val="af4"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0"/>
    <w:link w:val="af3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annotation reference"/>
    <w:basedOn w:val="a0"/>
    <w:uiPriority w:val="99"/>
    <w:semiHidden/>
    <w:unhideWhenUsed/>
    <w:rPr>
      <w:rFonts w:cs="Times New Roman"/>
      <w:sz w:val="16"/>
      <w:szCs w:val="16"/>
    </w:rPr>
  </w:style>
  <w:style w:type="paragraph" w:styleId="af6">
    <w:name w:val="Balloon Text"/>
    <w:basedOn w:val="a"/>
    <w:link w:val="af7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Pr>
      <w:rFonts w:ascii="Tahoma" w:hAnsi="Tahoma" w:cs="Tahoma"/>
      <w:sz w:val="16"/>
      <w:szCs w:val="16"/>
    </w:rPr>
  </w:style>
  <w:style w:type="paragraph" w:customStyle="1" w:styleId="ConsPlusNormal">
    <w:name w:val="ConsPlusNormal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</w:style>
  <w:style w:type="paragraph" w:styleId="afc">
    <w:name w:val="List Paragraph"/>
    <w:basedOn w:val="a"/>
    <w:uiPriority w:val="34"/>
    <w:qFormat/>
    <w:pPr>
      <w:ind w:left="720"/>
      <w:contextualSpacing/>
    </w:pPr>
  </w:style>
  <w:style w:type="table" w:styleId="afd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e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ff">
    <w:name w:val="FollowedHyperlink"/>
    <w:basedOn w:val="a0"/>
    <w:uiPriority w:val="99"/>
    <w:semiHidden/>
    <w:unhideWhenUsed/>
    <w:rPr>
      <w:color w:val="800080" w:themeColor="followedHyperlink"/>
      <w:u w:val="single"/>
    </w:rPr>
  </w:style>
  <w:style w:type="paragraph" w:styleId="aff0">
    <w:name w:val="Body Text"/>
    <w:basedOn w:val="a"/>
    <w:link w:val="aff1"/>
    <w:uiPriority w:val="9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1">
    <w:name w:val="Основной текст Знак"/>
    <w:basedOn w:val="a0"/>
    <w:link w:val="aff0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0.wmf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0635D4-967F-47B6-AFF7-B50418C73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676</Words>
  <Characters>3858</Characters>
  <Application>Microsoft Office Word</Application>
  <DocSecurity>0</DocSecurity>
  <Lines>32</Lines>
  <Paragraphs>9</Paragraphs>
  <ScaleCrop>false</ScaleCrop>
  <Company>mineconom</Company>
  <LinksUpToDate>false</LinksUpToDate>
  <CharactersWithSpaces>4525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Дедова Элла Владимировна</dc:creator>
  <cp:lastModifiedBy>Кожевникова Оксана Сергеевна</cp:lastModifiedBy>
  <cp:revision>33</cp:revision>
  <dcterms:created xsi:type="dcterms:W3CDTF">2023-12-22T04:01:00Z</dcterms:created>
  <dcterms:modified xsi:type="dcterms:W3CDTF">2025-10-22T08:39:00Z</dcterms:modified>
</cp:coreProperties>
</file>